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6478" w:rsidRDefault="00326478" w:rsidP="00326478">
      <w:pPr>
        <w:spacing w:after="0" w:line="240" w:lineRule="auto"/>
        <w:rPr>
          <w:rFonts w:ascii="Verdana" w:eastAsia="Times New Roman" w:hAnsi="Verdana" w:cs="Arial"/>
          <w:caps/>
          <w:sz w:val="24"/>
          <w:szCs w:val="28"/>
        </w:rPr>
      </w:pPr>
      <w:r w:rsidRPr="00E72C2D">
        <w:rPr>
          <w:rFonts w:ascii="Verdana" w:eastAsia="Times New Roman" w:hAnsi="Verdana" w:cs="Arial"/>
          <w:caps/>
          <w:sz w:val="24"/>
          <w:szCs w:val="28"/>
        </w:rPr>
        <w:t>Archivalische Quellen in der Schule</w:t>
      </w:r>
    </w:p>
    <w:p w:rsidR="00326478" w:rsidRPr="00E72C2D" w:rsidRDefault="00326478" w:rsidP="00326478">
      <w:pPr>
        <w:spacing w:after="0" w:line="240" w:lineRule="auto"/>
        <w:rPr>
          <w:rFonts w:ascii="Verdana" w:eastAsia="Times New Roman" w:hAnsi="Verdana" w:cs="Arial"/>
          <w:caps/>
          <w:sz w:val="24"/>
          <w:szCs w:val="28"/>
        </w:rPr>
      </w:pPr>
    </w:p>
    <w:p w:rsidR="00326478" w:rsidRDefault="00326478" w:rsidP="00326478">
      <w:pPr>
        <w:spacing w:after="0" w:line="240" w:lineRule="auto"/>
        <w:jc w:val="both"/>
        <w:rPr>
          <w:rFonts w:ascii="Verdana" w:eastAsia="Times New Roman" w:hAnsi="Verdana" w:cs="Arial"/>
          <w:b/>
          <w:sz w:val="32"/>
          <w:szCs w:val="32"/>
        </w:rPr>
      </w:pPr>
      <w:r>
        <w:rPr>
          <w:rFonts w:ascii="Verdana" w:eastAsia="Times New Roman" w:hAnsi="Verdana" w:cs="Arial"/>
          <w:b/>
          <w:sz w:val="32"/>
          <w:szCs w:val="32"/>
        </w:rPr>
        <w:t xml:space="preserve">Wie macht man einen Kaiser? </w:t>
      </w:r>
    </w:p>
    <w:p w:rsidR="00326478" w:rsidRDefault="00326478" w:rsidP="00326478">
      <w:pPr>
        <w:spacing w:after="0" w:line="240" w:lineRule="auto"/>
        <w:jc w:val="both"/>
        <w:rPr>
          <w:rFonts w:ascii="Verdana" w:eastAsia="Times New Roman" w:hAnsi="Verdana" w:cs="Arial"/>
          <w:b/>
          <w:sz w:val="32"/>
          <w:szCs w:val="32"/>
        </w:rPr>
      </w:pPr>
      <w:r>
        <w:rPr>
          <w:rFonts w:ascii="Verdana" w:eastAsia="Times New Roman" w:hAnsi="Verdana" w:cs="Arial"/>
          <w:b/>
          <w:sz w:val="32"/>
          <w:szCs w:val="32"/>
        </w:rPr>
        <w:t xml:space="preserve">Herrschaft </w:t>
      </w:r>
      <w:r w:rsidRPr="007A0767">
        <w:rPr>
          <w:rFonts w:ascii="Verdana" w:eastAsia="Times New Roman" w:hAnsi="Verdana" w:cs="Arial"/>
          <w:b/>
          <w:sz w:val="32"/>
          <w:szCs w:val="32"/>
        </w:rPr>
        <w:t>als lebendes Bild in</w:t>
      </w:r>
      <w:r>
        <w:rPr>
          <w:rFonts w:ascii="Verdana" w:eastAsia="Times New Roman" w:hAnsi="Verdana" w:cs="Arial"/>
          <w:b/>
          <w:sz w:val="32"/>
          <w:szCs w:val="32"/>
        </w:rPr>
        <w:t xml:space="preserve"> der Goldenen Bulle</w:t>
      </w:r>
    </w:p>
    <w:p w:rsidR="00326478" w:rsidRDefault="00326478" w:rsidP="00326478">
      <w:pPr>
        <w:spacing w:after="0" w:line="240" w:lineRule="auto"/>
        <w:jc w:val="both"/>
        <w:rPr>
          <w:rFonts w:ascii="Verdana" w:eastAsia="Times New Roman" w:hAnsi="Verdana" w:cs="Arial"/>
          <w:b/>
          <w:sz w:val="24"/>
          <w:szCs w:val="24"/>
        </w:rPr>
      </w:pPr>
    </w:p>
    <w:p w:rsidR="00F5309D" w:rsidRDefault="00F11C92" w:rsidP="00F11C92">
      <w:pPr>
        <w:spacing w:after="0"/>
        <w:rPr>
          <w:rFonts w:ascii="Verdana" w:hAnsi="Verdana"/>
          <w:b/>
          <w:sz w:val="24"/>
          <w:szCs w:val="24"/>
        </w:rPr>
      </w:pPr>
      <w:r>
        <w:rPr>
          <w:rFonts w:ascii="Verdana" w:hAnsi="Verdana"/>
          <w:b/>
          <w:sz w:val="24"/>
          <w:szCs w:val="24"/>
        </w:rPr>
        <w:t xml:space="preserve">Kopiervorlage: </w:t>
      </w:r>
      <w:r w:rsidR="00326478">
        <w:rPr>
          <w:rFonts w:ascii="Verdana" w:hAnsi="Verdana"/>
          <w:b/>
          <w:sz w:val="24"/>
          <w:szCs w:val="24"/>
        </w:rPr>
        <w:t xml:space="preserve">Arbeitsaufträge </w:t>
      </w:r>
    </w:p>
    <w:p w:rsidR="00F11C92" w:rsidRDefault="00F11C92" w:rsidP="00F11C92">
      <w:pPr>
        <w:spacing w:after="0"/>
        <w:rPr>
          <w:rFonts w:ascii="Verdana" w:hAnsi="Verdana"/>
          <w:b/>
          <w:sz w:val="24"/>
          <w:szCs w:val="24"/>
        </w:rPr>
      </w:pPr>
    </w:p>
    <w:p w:rsidR="00F11C92" w:rsidRPr="00F11C92" w:rsidRDefault="00F11C92" w:rsidP="00F11C92">
      <w:pPr>
        <w:spacing w:after="0" w:line="240" w:lineRule="auto"/>
        <w:jc w:val="both"/>
        <w:rPr>
          <w:rFonts w:ascii="Verdana" w:eastAsia="Times New Roman" w:hAnsi="Verdana" w:cs="Arial"/>
          <w:b/>
          <w:caps/>
          <w:sz w:val="24"/>
        </w:rPr>
      </w:pPr>
      <w:r w:rsidRPr="00F11C92">
        <w:rPr>
          <w:rFonts w:ascii="Verdana" w:eastAsia="Times New Roman" w:hAnsi="Verdana" w:cs="Arial"/>
          <w:b/>
          <w:caps/>
          <w:sz w:val="24"/>
        </w:rPr>
        <w:t>ArchivPädagogik</w:t>
      </w:r>
    </w:p>
    <w:p w:rsidR="00F11C92" w:rsidRPr="00F11C92" w:rsidRDefault="00F11C92" w:rsidP="00F11C92">
      <w:pPr>
        <w:spacing w:after="0" w:line="240" w:lineRule="auto"/>
        <w:jc w:val="both"/>
        <w:rPr>
          <w:rFonts w:ascii="Verdana" w:eastAsia="Times New Roman" w:hAnsi="Verdana" w:cs="Arial"/>
          <w:caps/>
          <w:sz w:val="24"/>
        </w:rPr>
      </w:pPr>
      <w:r w:rsidRPr="00F11C92">
        <w:rPr>
          <w:rFonts w:ascii="Verdana" w:eastAsia="Times New Roman" w:hAnsi="Verdana" w:cs="Arial"/>
          <w:caps/>
          <w:sz w:val="24"/>
        </w:rPr>
        <w:t>Institut für Stadtgeschichte Frankfurt am Main</w:t>
      </w:r>
    </w:p>
    <w:p w:rsidR="00F11C92" w:rsidRPr="00F11C92" w:rsidRDefault="00F11C92" w:rsidP="00F11C92">
      <w:pPr>
        <w:spacing w:after="0" w:line="240" w:lineRule="auto"/>
        <w:jc w:val="both"/>
        <w:rPr>
          <w:rFonts w:ascii="Verdana" w:eastAsia="Times New Roman" w:hAnsi="Verdana" w:cs="Arial"/>
          <w:sz w:val="20"/>
        </w:rPr>
      </w:pPr>
      <w:r w:rsidRPr="00F11C92">
        <w:rPr>
          <w:rFonts w:ascii="Verdana" w:eastAsia="Times New Roman" w:hAnsi="Verdana" w:cs="Arial"/>
          <w:sz w:val="20"/>
        </w:rPr>
        <w:t>Sabine Kindel M.A. / Manuela Murmann, archivpaedagogik@stadt-frankfurt.de</w:t>
      </w:r>
    </w:p>
    <w:p w:rsidR="00F11C92" w:rsidRPr="00F11C92" w:rsidRDefault="00F11C92" w:rsidP="00F11C92">
      <w:pPr>
        <w:spacing w:after="0" w:line="240" w:lineRule="auto"/>
        <w:jc w:val="both"/>
        <w:rPr>
          <w:rFonts w:ascii="Verdana" w:eastAsia="Times New Roman" w:hAnsi="Verdana" w:cs="Arial"/>
          <w:sz w:val="20"/>
        </w:rPr>
      </w:pPr>
      <w:r w:rsidRPr="00F11C92">
        <w:rPr>
          <w:rFonts w:ascii="Verdana" w:eastAsia="Times New Roman" w:hAnsi="Verdana" w:cs="Arial"/>
          <w:sz w:val="20"/>
        </w:rPr>
        <w:t>Karmeliterkloster, Münzgasse 9, 60311 Frankfurt am Main</w:t>
      </w:r>
    </w:p>
    <w:p w:rsidR="00F11C92" w:rsidRPr="00F11C92" w:rsidRDefault="00F11C92" w:rsidP="00F11C92">
      <w:pPr>
        <w:tabs>
          <w:tab w:val="center" w:pos="4536"/>
          <w:tab w:val="right" w:pos="9072"/>
        </w:tabs>
        <w:spacing w:after="0" w:line="240" w:lineRule="auto"/>
        <w:rPr>
          <w:rFonts w:ascii="Verdana" w:eastAsia="Times New Roman" w:hAnsi="Verdana" w:cs="Arial"/>
          <w:sz w:val="20"/>
        </w:rPr>
      </w:pPr>
      <w:r w:rsidRPr="00F11C92">
        <w:rPr>
          <w:rFonts w:ascii="Verdana" w:eastAsia="Times New Roman" w:hAnsi="Verdana" w:cs="Arial"/>
          <w:sz w:val="20"/>
        </w:rPr>
        <w:t xml:space="preserve">www.stadtgeschichte-ffm.de | Facebook/Instagram: </w:t>
      </w:r>
      <w:proofErr w:type="spellStart"/>
      <w:r w:rsidRPr="00F11C92">
        <w:rPr>
          <w:rFonts w:ascii="Verdana" w:eastAsia="Times New Roman" w:hAnsi="Verdana" w:cs="Arial"/>
          <w:sz w:val="20"/>
        </w:rPr>
        <w:t>isgfrankfurt</w:t>
      </w:r>
      <w:proofErr w:type="spellEnd"/>
      <w:r w:rsidRPr="00F11C92">
        <w:rPr>
          <w:rFonts w:ascii="Verdana" w:eastAsia="Times New Roman" w:hAnsi="Verdana" w:cs="Arial"/>
          <w:sz w:val="20"/>
        </w:rPr>
        <w:t xml:space="preserve"> | </w:t>
      </w:r>
      <w:proofErr w:type="spellStart"/>
      <w:r w:rsidRPr="00F11C92">
        <w:rPr>
          <w:rFonts w:ascii="Verdana" w:eastAsia="Times New Roman" w:hAnsi="Verdana" w:cs="Arial"/>
          <w:sz w:val="20"/>
        </w:rPr>
        <w:t>twitter</w:t>
      </w:r>
      <w:proofErr w:type="spellEnd"/>
      <w:r w:rsidRPr="00F11C92">
        <w:rPr>
          <w:rFonts w:ascii="Verdana" w:eastAsia="Times New Roman" w:hAnsi="Verdana" w:cs="Arial"/>
          <w:sz w:val="20"/>
        </w:rPr>
        <w:t xml:space="preserve">: </w:t>
      </w:r>
      <w:proofErr w:type="spellStart"/>
      <w:r w:rsidRPr="00F11C92">
        <w:rPr>
          <w:rFonts w:ascii="Verdana" w:eastAsia="Times New Roman" w:hAnsi="Verdana" w:cs="Arial"/>
          <w:sz w:val="20"/>
        </w:rPr>
        <w:t>isg_frankfurt</w:t>
      </w:r>
      <w:proofErr w:type="spellEnd"/>
    </w:p>
    <w:p w:rsidR="00F11C92" w:rsidRPr="00F11C92" w:rsidRDefault="00F11C92" w:rsidP="00F11C92">
      <w:pPr>
        <w:tabs>
          <w:tab w:val="center" w:pos="4536"/>
          <w:tab w:val="right" w:pos="9072"/>
        </w:tabs>
        <w:spacing w:after="0" w:line="240" w:lineRule="auto"/>
        <w:rPr>
          <w:rFonts w:ascii="Verdana" w:eastAsia="Times New Roman" w:hAnsi="Verdana" w:cs="Arial"/>
          <w:sz w:val="20"/>
        </w:rPr>
      </w:pPr>
    </w:p>
    <w:p w:rsidR="00F11C92" w:rsidRDefault="00F11C92" w:rsidP="00F11C92">
      <w:pPr>
        <w:pBdr>
          <w:bottom w:val="single" w:sz="12" w:space="1" w:color="auto"/>
        </w:pBdr>
        <w:rPr>
          <w:rFonts w:ascii="Verdana" w:hAnsi="Verdana"/>
          <w:b/>
          <w:sz w:val="24"/>
          <w:szCs w:val="24"/>
        </w:rPr>
      </w:pPr>
      <w:r w:rsidRPr="00F11C92">
        <w:rPr>
          <w:rFonts w:ascii="Verdana" w:hAnsi="Verdana"/>
          <w:sz w:val="20"/>
          <w:szCs w:val="20"/>
        </w:rPr>
        <w:t>© Die vorliegenden Unterrichtsentwürfe und Quellenmaterialien sind urheberrechtlich geschützt. Sie dürfen die Materialien downloaden und für Bildungszwecke, den Schulunterricht oder im Bereich der historisch-politischen Bildung vervielfältigen und verteilen. Das Institut für Stadtgeschichte Frankfurt am Main als Urheber und die jeweiligen Rechteinhaber sind zu nennen. Eine kommerzielle Nutzung, eine Vervielfältigung der Unterrichtsmaterialien für Zwecke außerhalb der historisch-politischen Bildung, des Schulunterrichts oder anderer Bildungszwecke sowie eine Veränderung der Unterrichtsmaterialien sind untersagt.</w:t>
      </w:r>
    </w:p>
    <w:p w:rsidR="001B3F1C" w:rsidRDefault="001B3F1C" w:rsidP="00326478">
      <w:pPr>
        <w:pBdr>
          <w:bottom w:val="single" w:sz="12" w:space="1" w:color="auto"/>
        </w:pBdr>
        <w:rPr>
          <w:rFonts w:ascii="Verdana" w:hAnsi="Verdana"/>
          <w:b/>
          <w:sz w:val="24"/>
          <w:szCs w:val="24"/>
        </w:rPr>
      </w:pPr>
    </w:p>
    <w:p w:rsidR="00F11C92" w:rsidRDefault="00F11C92" w:rsidP="00326478">
      <w:pPr>
        <w:pBdr>
          <w:bottom w:val="single" w:sz="12" w:space="1" w:color="auto"/>
        </w:pBdr>
        <w:rPr>
          <w:rFonts w:ascii="Verdana" w:hAnsi="Verdana"/>
          <w:b/>
          <w:sz w:val="24"/>
          <w:szCs w:val="24"/>
        </w:rPr>
      </w:pPr>
    </w:p>
    <w:p w:rsidR="001B3F1C" w:rsidRDefault="001B3F1C" w:rsidP="00326478">
      <w:pPr>
        <w:rPr>
          <w:rFonts w:ascii="Verdana" w:hAnsi="Verdana"/>
          <w:b/>
          <w:sz w:val="24"/>
          <w:szCs w:val="24"/>
        </w:rPr>
      </w:pPr>
    </w:p>
    <w:p w:rsidR="00F11C92" w:rsidRDefault="00F11C92" w:rsidP="00326478">
      <w:pPr>
        <w:rPr>
          <w:rFonts w:ascii="Verdana" w:hAnsi="Verdana"/>
          <w:b/>
          <w:sz w:val="24"/>
          <w:szCs w:val="24"/>
        </w:rPr>
      </w:pPr>
      <w:bookmarkStart w:id="0" w:name="_GoBack"/>
      <w:bookmarkEnd w:id="0"/>
    </w:p>
    <w:p w:rsidR="001B3F1C" w:rsidRPr="001C169F" w:rsidRDefault="001B3F1C" w:rsidP="001B3F1C">
      <w:pPr>
        <w:spacing w:after="0" w:line="240" w:lineRule="auto"/>
        <w:jc w:val="center"/>
        <w:rPr>
          <w:rFonts w:ascii="Verdana" w:hAnsi="Verdana"/>
          <w:b/>
          <w:caps/>
          <w:sz w:val="24"/>
          <w:szCs w:val="24"/>
        </w:rPr>
      </w:pPr>
      <w:r w:rsidRPr="001C169F">
        <w:rPr>
          <w:rFonts w:ascii="Verdana" w:hAnsi="Verdana"/>
          <w:b/>
          <w:caps/>
          <w:sz w:val="24"/>
          <w:szCs w:val="24"/>
        </w:rPr>
        <w:t>Einstieg</w:t>
      </w:r>
      <w:r>
        <w:rPr>
          <w:rFonts w:ascii="Verdana" w:hAnsi="Verdana"/>
          <w:b/>
          <w:caps/>
          <w:sz w:val="24"/>
          <w:szCs w:val="24"/>
        </w:rPr>
        <w:t xml:space="preserve"> (I-II)</w:t>
      </w:r>
    </w:p>
    <w:p w:rsidR="001B3F1C" w:rsidRDefault="001B3F1C" w:rsidP="001B3F1C">
      <w:pPr>
        <w:spacing w:after="0" w:line="240" w:lineRule="auto"/>
        <w:jc w:val="both"/>
        <w:rPr>
          <w:rFonts w:ascii="Verdana" w:hAnsi="Verdana"/>
          <w:sz w:val="24"/>
          <w:szCs w:val="24"/>
        </w:rPr>
      </w:pPr>
    </w:p>
    <w:p w:rsidR="001B3F1C" w:rsidRDefault="001B3F1C" w:rsidP="001B3F1C">
      <w:pPr>
        <w:spacing w:after="0" w:line="240" w:lineRule="auto"/>
        <w:jc w:val="both"/>
        <w:rPr>
          <w:rFonts w:ascii="Verdana" w:hAnsi="Verdana"/>
          <w:sz w:val="24"/>
          <w:szCs w:val="24"/>
        </w:rPr>
      </w:pPr>
      <w:r>
        <w:rPr>
          <w:rFonts w:ascii="Verdana" w:hAnsi="Verdana"/>
          <w:sz w:val="24"/>
          <w:szCs w:val="24"/>
        </w:rPr>
        <w:t xml:space="preserve">Nennen Sie Beispiele aus der heutigen Zeit, in denen spezifische Sitz- oder Prozessionsordnungen eine Rolle spielen. </w:t>
      </w:r>
    </w:p>
    <w:p w:rsidR="001B3F1C" w:rsidRDefault="001B3F1C" w:rsidP="001B3F1C">
      <w:pPr>
        <w:spacing w:after="0" w:line="240" w:lineRule="auto"/>
        <w:jc w:val="both"/>
        <w:rPr>
          <w:rFonts w:ascii="Verdana" w:hAnsi="Verdana"/>
          <w:sz w:val="24"/>
          <w:szCs w:val="24"/>
        </w:rPr>
      </w:pPr>
      <w:r>
        <w:rPr>
          <w:rFonts w:ascii="Verdana" w:hAnsi="Verdana"/>
          <w:sz w:val="24"/>
          <w:szCs w:val="24"/>
        </w:rPr>
        <w:t>Welche Funktionen werden hier erfüllt?</w:t>
      </w:r>
    </w:p>
    <w:p w:rsidR="001B3F1C" w:rsidRDefault="001B3F1C" w:rsidP="001B3F1C">
      <w:pPr>
        <w:spacing w:after="0" w:line="240" w:lineRule="auto"/>
        <w:jc w:val="both"/>
        <w:rPr>
          <w:rFonts w:ascii="Verdana" w:hAnsi="Verdana"/>
          <w:sz w:val="24"/>
          <w:szCs w:val="24"/>
        </w:rPr>
      </w:pPr>
    </w:p>
    <w:p w:rsidR="001B3F1C" w:rsidRDefault="001B3F1C" w:rsidP="001B3F1C">
      <w:pPr>
        <w:spacing w:after="0" w:line="240" w:lineRule="auto"/>
        <w:jc w:val="both"/>
        <w:rPr>
          <w:rFonts w:ascii="Verdana" w:hAnsi="Verdana"/>
          <w:b/>
          <w:caps/>
          <w:sz w:val="24"/>
          <w:szCs w:val="24"/>
        </w:rPr>
      </w:pPr>
      <w:r>
        <w:rPr>
          <w:rFonts w:ascii="Verdana" w:hAnsi="Verdana"/>
          <w:sz w:val="24"/>
          <w:szCs w:val="24"/>
        </w:rPr>
        <w:t>Denken Sie zunächst über Beispiele nach und notieren Sie sie. Beachten Sie hierbei nicht nur die politische Sphäre, sondern auch den privaten Bereich. Führen Sie die Beispiele aber nur knapp an. Danach stellen Sie ihre Beispiele Ihrer Partnerin/Ihrem Partner innerhalb von 5 Minuten vor. Ihre Partnerin/Ihr Partner hat die Möglichkeit, Rückfragen zu stellen, wenn etwas nicht verständlich ist. Danach ist Ihr Gegenüber an der Reihe, ihre/seine Beispiele vorzustellen. Die geteilten Ergebnisse werden anschließend im Plenum präsentiert. Dies kann, muss aber nicht, unter dem Einsatz verschiedener Hilfsmittel (Schaubild, Plakat, Karteikarten…) geschehen.</w:t>
      </w:r>
    </w:p>
    <w:p w:rsidR="001B3F1C" w:rsidRDefault="001B3F1C" w:rsidP="007E5164">
      <w:pPr>
        <w:spacing w:after="0" w:line="240" w:lineRule="auto"/>
        <w:jc w:val="center"/>
        <w:rPr>
          <w:rFonts w:ascii="Verdana" w:hAnsi="Verdana"/>
          <w:b/>
          <w:caps/>
          <w:sz w:val="24"/>
          <w:szCs w:val="24"/>
        </w:rPr>
      </w:pPr>
    </w:p>
    <w:p w:rsidR="001B3F1C" w:rsidRDefault="001B3F1C">
      <w:pPr>
        <w:spacing w:after="160" w:line="259" w:lineRule="auto"/>
        <w:rPr>
          <w:rFonts w:ascii="Verdana" w:hAnsi="Verdana"/>
          <w:b/>
          <w:caps/>
          <w:sz w:val="24"/>
          <w:szCs w:val="24"/>
        </w:rPr>
      </w:pPr>
      <w:r>
        <w:rPr>
          <w:rFonts w:ascii="Verdana" w:hAnsi="Verdana"/>
          <w:b/>
          <w:caps/>
          <w:sz w:val="24"/>
          <w:szCs w:val="24"/>
        </w:rPr>
        <w:br w:type="page"/>
      </w:r>
    </w:p>
    <w:p w:rsidR="007E5164" w:rsidRPr="001C169F" w:rsidRDefault="007E5164" w:rsidP="007E5164">
      <w:pPr>
        <w:spacing w:after="0" w:line="240" w:lineRule="auto"/>
        <w:jc w:val="center"/>
        <w:rPr>
          <w:rFonts w:ascii="Verdana" w:hAnsi="Verdana"/>
          <w:b/>
          <w:caps/>
          <w:sz w:val="24"/>
          <w:szCs w:val="24"/>
        </w:rPr>
      </w:pPr>
      <w:r w:rsidRPr="001C169F">
        <w:rPr>
          <w:rFonts w:ascii="Verdana" w:hAnsi="Verdana"/>
          <w:b/>
          <w:caps/>
          <w:sz w:val="24"/>
          <w:szCs w:val="24"/>
        </w:rPr>
        <w:lastRenderedPageBreak/>
        <w:t>Einführung Goldene Bulle</w:t>
      </w:r>
      <w:r>
        <w:rPr>
          <w:rFonts w:ascii="Verdana" w:hAnsi="Verdana"/>
          <w:b/>
          <w:caps/>
          <w:sz w:val="24"/>
          <w:szCs w:val="24"/>
        </w:rPr>
        <w:t xml:space="preserve"> (I-II)</w:t>
      </w:r>
    </w:p>
    <w:p w:rsidR="007E5164" w:rsidRDefault="007E5164" w:rsidP="007E5164">
      <w:pPr>
        <w:spacing w:after="0" w:line="240" w:lineRule="auto"/>
        <w:jc w:val="both"/>
        <w:rPr>
          <w:rFonts w:ascii="Verdana" w:hAnsi="Verdana"/>
          <w:sz w:val="24"/>
          <w:szCs w:val="24"/>
        </w:rPr>
      </w:pPr>
    </w:p>
    <w:p w:rsidR="007E5164" w:rsidRDefault="007E5164" w:rsidP="007E5164">
      <w:pPr>
        <w:spacing w:after="0" w:line="240" w:lineRule="auto"/>
        <w:jc w:val="both"/>
        <w:rPr>
          <w:rFonts w:ascii="Verdana" w:hAnsi="Verdana"/>
          <w:sz w:val="24"/>
          <w:szCs w:val="24"/>
        </w:rPr>
      </w:pPr>
      <w:r>
        <w:rPr>
          <w:rFonts w:ascii="Verdana" w:hAnsi="Verdana"/>
          <w:sz w:val="24"/>
          <w:szCs w:val="24"/>
        </w:rPr>
        <w:t xml:space="preserve">Lesen Sie den Informationstext zur Goldenen Bulle. </w:t>
      </w:r>
    </w:p>
    <w:p w:rsidR="007E5164" w:rsidRDefault="007E5164" w:rsidP="007E5164">
      <w:pPr>
        <w:spacing w:after="0" w:line="240" w:lineRule="auto"/>
        <w:jc w:val="both"/>
        <w:rPr>
          <w:rFonts w:ascii="Verdana" w:hAnsi="Verdana"/>
          <w:sz w:val="24"/>
          <w:szCs w:val="24"/>
        </w:rPr>
      </w:pPr>
    </w:p>
    <w:p w:rsidR="007E5164" w:rsidRDefault="007E5164" w:rsidP="007E5164">
      <w:pPr>
        <w:spacing w:after="0" w:line="240" w:lineRule="auto"/>
        <w:jc w:val="both"/>
        <w:rPr>
          <w:rFonts w:ascii="Verdana" w:hAnsi="Verdana"/>
          <w:sz w:val="24"/>
          <w:szCs w:val="24"/>
        </w:rPr>
      </w:pPr>
      <w:r>
        <w:rPr>
          <w:rFonts w:ascii="Verdana" w:hAnsi="Verdana"/>
          <w:sz w:val="24"/>
          <w:szCs w:val="24"/>
        </w:rPr>
        <w:t>Stellen Sie sich nun vor, Sie müssten den Einführungsparagraphen zur Goldenen Bulle auf Wikipedia schreiben. Welche Informationen sind essentiell, um in höchstens drei Sätzen einen Überblick über Inhalt, Funktion und Bedeutung der Goldenen Bulle zu erhalten? Arbeiten Sie die entsprechenden Informationen heraus und formulieren Sie Ihre Version in Partner*</w:t>
      </w:r>
      <w:proofErr w:type="spellStart"/>
      <w:r>
        <w:rPr>
          <w:rFonts w:ascii="Verdana" w:hAnsi="Verdana"/>
          <w:sz w:val="24"/>
          <w:szCs w:val="24"/>
        </w:rPr>
        <w:t>innenarbeit</w:t>
      </w:r>
      <w:proofErr w:type="spellEnd"/>
      <w:r>
        <w:rPr>
          <w:rFonts w:ascii="Verdana" w:hAnsi="Verdana"/>
          <w:sz w:val="24"/>
          <w:szCs w:val="24"/>
        </w:rPr>
        <w:t xml:space="preserve"> aus.</w:t>
      </w:r>
    </w:p>
    <w:p w:rsidR="007E5164" w:rsidRDefault="007E5164" w:rsidP="007E5164">
      <w:pPr>
        <w:spacing w:after="0" w:line="240" w:lineRule="auto"/>
        <w:jc w:val="both"/>
        <w:rPr>
          <w:rFonts w:ascii="Verdana" w:hAnsi="Verdana"/>
          <w:sz w:val="24"/>
          <w:szCs w:val="24"/>
        </w:rPr>
      </w:pPr>
    </w:p>
    <w:p w:rsidR="007E5164" w:rsidRDefault="007E5164" w:rsidP="007E5164">
      <w:pPr>
        <w:spacing w:after="0" w:line="240" w:lineRule="auto"/>
        <w:jc w:val="both"/>
        <w:rPr>
          <w:rFonts w:ascii="Verdana" w:hAnsi="Verdana"/>
          <w:sz w:val="24"/>
          <w:szCs w:val="24"/>
        </w:rPr>
      </w:pPr>
      <w:r>
        <w:rPr>
          <w:rFonts w:ascii="Verdana" w:hAnsi="Verdana"/>
          <w:sz w:val="24"/>
          <w:szCs w:val="24"/>
        </w:rPr>
        <w:t xml:space="preserve">Beachten Sie bei der Ausführung folgende Punkte: </w:t>
      </w:r>
    </w:p>
    <w:p w:rsidR="007E5164" w:rsidRPr="00563126" w:rsidRDefault="007E5164" w:rsidP="007E5164">
      <w:pPr>
        <w:spacing w:after="0" w:line="240" w:lineRule="auto"/>
        <w:jc w:val="both"/>
        <w:rPr>
          <w:rFonts w:ascii="Verdana" w:hAnsi="Verdana"/>
          <w:sz w:val="24"/>
          <w:szCs w:val="24"/>
        </w:rPr>
      </w:pPr>
      <w:r w:rsidRPr="00563126">
        <w:rPr>
          <w:rFonts w:ascii="Verdana" w:hAnsi="Verdana"/>
          <w:sz w:val="24"/>
          <w:szCs w:val="24"/>
        </w:rPr>
        <w:t xml:space="preserve"> </w:t>
      </w:r>
    </w:p>
    <w:p w:rsidR="007E5164" w:rsidRDefault="007E5164" w:rsidP="007E5164">
      <w:pPr>
        <w:pStyle w:val="Listenabsatz"/>
        <w:numPr>
          <w:ilvl w:val="0"/>
          <w:numId w:val="2"/>
        </w:numPr>
        <w:spacing w:after="0" w:line="240" w:lineRule="auto"/>
        <w:jc w:val="both"/>
        <w:rPr>
          <w:rFonts w:ascii="Verdana" w:hAnsi="Verdana"/>
          <w:sz w:val="24"/>
          <w:szCs w:val="24"/>
        </w:rPr>
      </w:pPr>
      <w:r>
        <w:rPr>
          <w:rFonts w:ascii="Verdana" w:hAnsi="Verdana"/>
          <w:sz w:val="24"/>
          <w:szCs w:val="24"/>
        </w:rPr>
        <w:t>Vollständigkeit der Informationen</w:t>
      </w:r>
    </w:p>
    <w:p w:rsidR="007E5164" w:rsidRDefault="007E5164" w:rsidP="007E5164">
      <w:pPr>
        <w:pStyle w:val="Listenabsatz"/>
        <w:numPr>
          <w:ilvl w:val="0"/>
          <w:numId w:val="2"/>
        </w:numPr>
        <w:spacing w:after="0" w:line="240" w:lineRule="auto"/>
        <w:jc w:val="both"/>
        <w:rPr>
          <w:rFonts w:ascii="Verdana" w:hAnsi="Verdana"/>
          <w:sz w:val="24"/>
          <w:szCs w:val="24"/>
        </w:rPr>
      </w:pPr>
      <w:r>
        <w:rPr>
          <w:rFonts w:ascii="Verdana" w:hAnsi="Verdana"/>
          <w:sz w:val="24"/>
          <w:szCs w:val="24"/>
        </w:rPr>
        <w:t xml:space="preserve">Allgemeinverständliche Wortwahl </w:t>
      </w:r>
    </w:p>
    <w:p w:rsidR="007E5164" w:rsidRDefault="007E5164" w:rsidP="007E5164">
      <w:pPr>
        <w:pStyle w:val="Listenabsatz"/>
        <w:numPr>
          <w:ilvl w:val="0"/>
          <w:numId w:val="2"/>
        </w:numPr>
        <w:spacing w:after="0" w:line="240" w:lineRule="auto"/>
        <w:jc w:val="both"/>
        <w:rPr>
          <w:rFonts w:ascii="Verdana" w:hAnsi="Verdana"/>
          <w:sz w:val="24"/>
          <w:szCs w:val="24"/>
        </w:rPr>
      </w:pPr>
      <w:r>
        <w:rPr>
          <w:rFonts w:ascii="Verdana" w:hAnsi="Verdana"/>
          <w:sz w:val="24"/>
          <w:szCs w:val="24"/>
        </w:rPr>
        <w:t>Prägnanz</w:t>
      </w:r>
    </w:p>
    <w:p w:rsidR="001B3F1C" w:rsidRDefault="001B3F1C" w:rsidP="001B3F1C">
      <w:pPr>
        <w:spacing w:after="0" w:line="240" w:lineRule="auto"/>
        <w:jc w:val="both"/>
        <w:rPr>
          <w:rFonts w:ascii="Verdana" w:hAnsi="Verdana"/>
          <w:sz w:val="24"/>
          <w:szCs w:val="24"/>
        </w:rPr>
      </w:pPr>
    </w:p>
    <w:p w:rsidR="001B3F1C" w:rsidRPr="00380DB4" w:rsidRDefault="001B3F1C" w:rsidP="001B3F1C">
      <w:pPr>
        <w:spacing w:after="0" w:line="240" w:lineRule="auto"/>
        <w:jc w:val="both"/>
        <w:rPr>
          <w:rFonts w:ascii="Verdana" w:eastAsia="Times New Roman" w:hAnsi="Verdana" w:cs="Arial"/>
          <w:sz w:val="24"/>
          <w:szCs w:val="28"/>
        </w:rPr>
      </w:pPr>
      <w:r>
        <w:rPr>
          <w:rFonts w:ascii="Verdana" w:eastAsia="Times New Roman" w:hAnsi="Verdana" w:cs="Arial"/>
          <w:noProof/>
          <w:sz w:val="24"/>
          <w:szCs w:val="28"/>
          <w:lang w:eastAsia="de-DE"/>
        </w:rPr>
        <w:drawing>
          <wp:inline distT="0" distB="0" distL="0" distR="0" wp14:anchorId="0F83108A" wp14:editId="321E40E5">
            <wp:extent cx="5760720" cy="3825686"/>
            <wp:effectExtent l="0" t="0" r="0" b="381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üllbild-01-BU- Foto des aufgeschlagenen Dokumentes mit Siegel .jpg.jpg"/>
                    <pic:cNvPicPr/>
                  </pic:nvPicPr>
                  <pic:blipFill>
                    <a:blip r:embed="rId7">
                      <a:extLst>
                        <a:ext uri="{28A0092B-C50C-407E-A947-70E740481C1C}">
                          <a14:useLocalDpi xmlns:a14="http://schemas.microsoft.com/office/drawing/2010/main" val="0"/>
                        </a:ext>
                      </a:extLst>
                    </a:blip>
                    <a:stretch>
                      <a:fillRect/>
                    </a:stretch>
                  </pic:blipFill>
                  <pic:spPr>
                    <a:xfrm>
                      <a:off x="0" y="0"/>
                      <a:ext cx="5760720" cy="3825686"/>
                    </a:xfrm>
                    <a:prstGeom prst="rect">
                      <a:avLst/>
                    </a:prstGeom>
                  </pic:spPr>
                </pic:pic>
              </a:graphicData>
            </a:graphic>
          </wp:inline>
        </w:drawing>
      </w:r>
    </w:p>
    <w:p w:rsidR="001B3F1C" w:rsidRPr="00A00593" w:rsidRDefault="001B3F1C" w:rsidP="001B3F1C">
      <w:pPr>
        <w:spacing w:after="0" w:line="240" w:lineRule="auto"/>
        <w:jc w:val="both"/>
        <w:rPr>
          <w:rFonts w:ascii="Verdana" w:eastAsia="Times New Roman" w:hAnsi="Verdana" w:cs="Arial"/>
          <w:i/>
          <w:sz w:val="24"/>
          <w:szCs w:val="28"/>
        </w:rPr>
      </w:pPr>
      <w:r w:rsidRPr="00A00593">
        <w:rPr>
          <w:rFonts w:ascii="Verdana" w:eastAsia="Times New Roman" w:hAnsi="Verdana" w:cs="Arial"/>
          <w:i/>
          <w:sz w:val="24"/>
          <w:szCs w:val="28"/>
        </w:rPr>
        <w:t xml:space="preserve">Aufgeschlagenes Dokument mit anhängendem Siegel. Die Siegelkapsel gab der „Goldenen Bulle“ ihren Namen. </w:t>
      </w:r>
    </w:p>
    <w:p w:rsidR="001B3F1C" w:rsidRPr="001B3F1C" w:rsidRDefault="001B3F1C" w:rsidP="001B3F1C">
      <w:pPr>
        <w:spacing w:after="0" w:line="240" w:lineRule="auto"/>
        <w:jc w:val="both"/>
        <w:rPr>
          <w:rFonts w:ascii="Verdana" w:hAnsi="Verdana"/>
          <w:sz w:val="24"/>
          <w:szCs w:val="24"/>
        </w:rPr>
      </w:pPr>
    </w:p>
    <w:p w:rsidR="00563126" w:rsidRPr="007E5164" w:rsidRDefault="00563126" w:rsidP="007E5164">
      <w:pPr>
        <w:tabs>
          <w:tab w:val="left" w:pos="1050"/>
        </w:tabs>
        <w:rPr>
          <w:rFonts w:ascii="Verdana" w:eastAsia="Times New Roman" w:hAnsi="Verdana" w:cs="Arial"/>
          <w:sz w:val="24"/>
          <w:szCs w:val="28"/>
        </w:rPr>
      </w:pPr>
    </w:p>
    <w:p w:rsidR="00326478" w:rsidRDefault="00F5309D" w:rsidP="00326478">
      <w:pPr>
        <w:spacing w:after="0" w:line="240" w:lineRule="auto"/>
        <w:jc w:val="both"/>
        <w:rPr>
          <w:rFonts w:ascii="Verdana" w:eastAsia="Times New Roman" w:hAnsi="Verdana" w:cs="Arial"/>
          <w:b/>
          <w:sz w:val="24"/>
          <w:szCs w:val="28"/>
        </w:rPr>
      </w:pPr>
      <w:r w:rsidRPr="00CD76C3">
        <w:rPr>
          <w:rFonts w:ascii="Verdana" w:eastAsia="Times New Roman" w:hAnsi="Verdana" w:cs="Arial"/>
          <w:noProof/>
          <w:sz w:val="24"/>
          <w:szCs w:val="28"/>
          <w:lang w:eastAsia="de-DE"/>
        </w:rPr>
        <w:lastRenderedPageBreak/>
        <mc:AlternateContent>
          <mc:Choice Requires="wps">
            <w:drawing>
              <wp:anchor distT="0" distB="0" distL="114300" distR="114300" simplePos="0" relativeHeight="251670528" behindDoc="1" locked="0" layoutInCell="1" allowOverlap="1" wp14:anchorId="252671B3" wp14:editId="4EE4B598">
                <wp:simplePos x="0" y="0"/>
                <wp:positionH relativeFrom="margin">
                  <wp:posOffset>-4445</wp:posOffset>
                </wp:positionH>
                <wp:positionV relativeFrom="paragraph">
                  <wp:posOffset>-2654935</wp:posOffset>
                </wp:positionV>
                <wp:extent cx="5769610" cy="7505700"/>
                <wp:effectExtent l="19050" t="19050" r="21590" b="19050"/>
                <wp:wrapTight wrapText="bothSides">
                  <wp:wrapPolygon edited="0">
                    <wp:start x="-71" y="-55"/>
                    <wp:lineTo x="-71" y="21600"/>
                    <wp:lineTo x="21610" y="21600"/>
                    <wp:lineTo x="21610" y="-55"/>
                    <wp:lineTo x="-71" y="-55"/>
                  </wp:wrapPolygon>
                </wp:wrapTight>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9610" cy="7505700"/>
                        </a:xfrm>
                        <a:prstGeom prst="rect">
                          <a:avLst/>
                        </a:prstGeom>
                        <a:solidFill>
                          <a:srgbClr val="FFFFFF"/>
                        </a:solidFill>
                        <a:ln w="28575">
                          <a:solidFill>
                            <a:srgbClr val="000000"/>
                          </a:solidFill>
                          <a:miter lim="800000"/>
                          <a:headEnd/>
                          <a:tailEnd/>
                        </a:ln>
                      </wps:spPr>
                      <wps:txbx>
                        <w:txbxContent>
                          <w:p w:rsidR="00F5309D" w:rsidRPr="00A63ABE" w:rsidRDefault="00F5309D" w:rsidP="00F5309D">
                            <w:pPr>
                              <w:spacing w:after="0" w:line="240" w:lineRule="auto"/>
                              <w:jc w:val="both"/>
                              <w:rPr>
                                <w:rFonts w:ascii="Verdana" w:hAnsi="Verdana"/>
                                <w:b/>
                                <w:sz w:val="24"/>
                                <w:szCs w:val="24"/>
                              </w:rPr>
                            </w:pPr>
                            <w:r w:rsidRPr="00A63ABE">
                              <w:rPr>
                                <w:rFonts w:ascii="Verdana" w:hAnsi="Verdana"/>
                                <w:b/>
                                <w:sz w:val="24"/>
                                <w:szCs w:val="24"/>
                              </w:rPr>
                              <w:t>Die Goldene Bulle</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Die Goldene Bulle ist eine im Rahmen zweier Hoftage zwischen 1355 und 1357 entstandene Urkunde, die heute als das „älteste Grundgesetz des Heiligen Römischen Reiches“ (</w:t>
                            </w:r>
                            <w:r w:rsidRPr="0011563E">
                              <w:rPr>
                                <w:rFonts w:ascii="Verdana" w:hAnsi="Verdana"/>
                                <w:sz w:val="24"/>
                                <w:szCs w:val="24"/>
                              </w:rPr>
                              <w:t xml:space="preserve">Frauenknecht &amp; Rückert </w:t>
                            </w:r>
                            <w:r>
                              <w:rPr>
                                <w:rFonts w:ascii="Verdana" w:hAnsi="Verdana"/>
                                <w:sz w:val="24"/>
                                <w:szCs w:val="24"/>
                              </w:rPr>
                              <w:t xml:space="preserve">2016: </w:t>
                            </w:r>
                            <w:r w:rsidRPr="0011563E">
                              <w:rPr>
                                <w:rFonts w:ascii="Verdana" w:hAnsi="Verdana"/>
                                <w:sz w:val="24"/>
                                <w:szCs w:val="24"/>
                              </w:rPr>
                              <w:t>20</w:t>
                            </w:r>
                            <w:r>
                              <w:rPr>
                                <w:rFonts w:ascii="Verdana" w:hAnsi="Verdana"/>
                                <w:sz w:val="24"/>
                                <w:szCs w:val="24"/>
                              </w:rPr>
                              <w:t xml:space="preserve">) Teil des UNESO-Weltdokumentenerbes ist. Seit etwa 1400 ist sie unter ihrem jetzigen Namen bekannt, den </w:t>
                            </w:r>
                            <w:r w:rsidRPr="00D27902">
                              <w:rPr>
                                <w:rFonts w:ascii="Verdana" w:hAnsi="Verdana"/>
                                <w:sz w:val="24"/>
                                <w:szCs w:val="24"/>
                              </w:rPr>
                              <w:t>sie</w:t>
                            </w:r>
                            <w:r>
                              <w:rPr>
                                <w:rFonts w:ascii="Verdana" w:hAnsi="Verdana"/>
                                <w:sz w:val="24"/>
                                <w:szCs w:val="24"/>
                              </w:rPr>
                              <w:t xml:space="preserve"> aufgrund ihres Goldsiegels trägt, das ihre Rechtsgültigkeit und Legitimität auch in einer weitgehend analphabetischen Gesellschaft sichtbar machte. Das Originaldokument besteht aus 31 Kapiteln auf 86 Seiten und ist auf Latein verfasst.</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Das Ziel der Goldenen Bulle war es, nach einer Zeit zunehmender politischer Streitigkeiten über die Wahl des römischen Königs und den damit verbundenen Doppelwahlen, Einigkeit über deren Formalitäten und Rahmenbedingungen zu schaffen und damit in Zukunft Kriegen und Konflikten vorzubeugen. Neben den Modalitäten der Königswahl und dem Kreis der Wähler schrieb sie auch die privilegierte Rechtsstellung der Kurfürsten fest und wirkte damit ordnungsstiftend für die politischen Beziehungen der nächsten 450 Jahre und 29 Wahlen. In dieser Zeit wurde sie nur geringfügig angepasst und nie grundsätzlich in ihrer Bedeutung infrage gestellt. Die in ihr festgeschriebenen Prinzipien einer föderalen Machtaufteilung sowie des einfachen Mehrheitsprinzips bei Wahlen wirken gar bis in die heutige Zeit fort.</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 xml:space="preserve">Für Frankfurt war die Goldene Bulle von besonderer Bedeutung, da in ihr der Status der Stadt als </w:t>
                            </w:r>
                            <w:proofErr w:type="spellStart"/>
                            <w:r>
                              <w:rPr>
                                <w:rFonts w:ascii="Verdana" w:hAnsi="Verdana"/>
                                <w:sz w:val="24"/>
                                <w:szCs w:val="24"/>
                              </w:rPr>
                              <w:t>Wahlort</w:t>
                            </w:r>
                            <w:proofErr w:type="spellEnd"/>
                            <w:r>
                              <w:rPr>
                                <w:rFonts w:ascii="Verdana" w:hAnsi="Verdana"/>
                                <w:sz w:val="24"/>
                                <w:szCs w:val="24"/>
                              </w:rPr>
                              <w:t xml:space="preserve"> eindeutig festgelegt</w:t>
                            </w:r>
                            <w:r w:rsidR="00563126">
                              <w:rPr>
                                <w:rFonts w:ascii="Verdana" w:hAnsi="Verdana"/>
                                <w:sz w:val="24"/>
                                <w:szCs w:val="24"/>
                              </w:rPr>
                              <w:t xml:space="preserve"> </w:t>
                            </w:r>
                            <w:r>
                              <w:rPr>
                                <w:rFonts w:ascii="Verdana" w:hAnsi="Verdana"/>
                                <w:sz w:val="24"/>
                                <w:szCs w:val="24"/>
                              </w:rPr>
                              <w:t xml:space="preserve">und der später um die Designation als Krönungsort erweitert wurde. Dies bedeutete für Frankfurt eine besondere Ehre und brachte auf der einen Seite Ansehen und wirtschaftliche Entwicklung, auf der anderen Seite aber auch viele Verpflichtungen – beispielsweise für die Zeit der Wahl als neutrales Territorium die Sicherheit aller Beteiligten sowie deren Versorgung zu gewährleisten. </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 xml:space="preserve">Eine besondere Bedeutung kommt dem Frankfurter Exemplar der Goldenen Bulle zu, das nicht nur lange Zeit für das Original gehalten wurde, sondern auch als einzige Ausgabe nie für längere Zeit seinen Ursprungsort verlassen musste und in Ermangelung eines offiziellen Reichsexemplars bei Streitfragen sowie bei jeder Wahl zu Rate gezogen wurde. </w:t>
                            </w:r>
                          </w:p>
                        </w:txbxContent>
                      </wps:txbx>
                      <wps:bodyPr rot="0" vert="horz" wrap="square" lIns="126000" tIns="126000" rIns="126000" bIns="12600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2671B3" id="_x0000_t202" coordsize="21600,21600" o:spt="202" path="m,l,21600r21600,l21600,xe">
                <v:stroke joinstyle="miter"/>
                <v:path gradientshapeok="t" o:connecttype="rect"/>
              </v:shapetype>
              <v:shape id="Textfeld 2" o:spid="_x0000_s1026" type="#_x0000_t202" style="position:absolute;left:0;text-align:left;margin-left:-.35pt;margin-top:-209.05pt;width:454.3pt;height:591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" strokeweight="2.25pt">
                <v:textbox inset="3.5mm,3.5mm,3.5mm,3.5mm">
                  <w:txbxContent>
                    <w:p w:rsidR="00F5309D" w:rsidRPr="00A63ABE" w:rsidRDefault="00F5309D" w:rsidP="00F5309D">
                      <w:pPr>
                        <w:spacing w:after="0" w:line="240" w:lineRule="auto"/>
                        <w:jc w:val="both"/>
                        <w:rPr>
                          <w:rFonts w:ascii="Verdana" w:hAnsi="Verdana"/>
                          <w:b/>
                          <w:sz w:val="24"/>
                          <w:szCs w:val="24"/>
                        </w:rPr>
                      </w:pPr>
                      <w:r w:rsidRPr="00A63ABE">
                        <w:rPr>
                          <w:rFonts w:ascii="Verdana" w:hAnsi="Verdana"/>
                          <w:b/>
                          <w:sz w:val="24"/>
                          <w:szCs w:val="24"/>
                        </w:rPr>
                        <w:t>Die Goldene Bulle</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Die Goldene Bulle ist eine im Rahmen zweier Hoftage zwischen 1355 und 1357 entstandene Urkunde, die heute als das „älteste Grundgesetz des Heiligen Römischen Reiches“ (</w:t>
                      </w:r>
                      <w:r w:rsidRPr="0011563E">
                        <w:rPr>
                          <w:rFonts w:ascii="Verdana" w:hAnsi="Verdana"/>
                          <w:sz w:val="24"/>
                          <w:szCs w:val="24"/>
                        </w:rPr>
                        <w:t xml:space="preserve">Frauenknecht &amp; Rückert </w:t>
                      </w:r>
                      <w:r>
                        <w:rPr>
                          <w:rFonts w:ascii="Verdana" w:hAnsi="Verdana"/>
                          <w:sz w:val="24"/>
                          <w:szCs w:val="24"/>
                        </w:rPr>
                        <w:t xml:space="preserve">2016: </w:t>
                      </w:r>
                      <w:r w:rsidRPr="0011563E">
                        <w:rPr>
                          <w:rFonts w:ascii="Verdana" w:hAnsi="Verdana"/>
                          <w:sz w:val="24"/>
                          <w:szCs w:val="24"/>
                        </w:rPr>
                        <w:t>20</w:t>
                      </w:r>
                      <w:r>
                        <w:rPr>
                          <w:rFonts w:ascii="Verdana" w:hAnsi="Verdana"/>
                          <w:sz w:val="24"/>
                          <w:szCs w:val="24"/>
                        </w:rPr>
                        <w:t xml:space="preserve">) Teil des UNESO-Weltdokumentenerbes ist. Seit etwa 1400 ist sie unter ihrem jetzigen Namen bekannt, den </w:t>
                      </w:r>
                      <w:r w:rsidRPr="00D27902">
                        <w:rPr>
                          <w:rFonts w:ascii="Verdana" w:hAnsi="Verdana"/>
                          <w:sz w:val="24"/>
                          <w:szCs w:val="24"/>
                        </w:rPr>
                        <w:t>sie</w:t>
                      </w:r>
                      <w:r>
                        <w:rPr>
                          <w:rFonts w:ascii="Verdana" w:hAnsi="Verdana"/>
                          <w:sz w:val="24"/>
                          <w:szCs w:val="24"/>
                        </w:rPr>
                        <w:t xml:space="preserve"> aufgrund ihres Goldsiegels trägt, das ihre Rechtsgültigkeit und Legitimität auch in einer weitgehend analphabetischen Gesellschaft sichtbar machte. Das Originaldokument besteht aus 31 Kapiteln auf 86 Seiten und ist auf Latein verfasst.</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Das Ziel der Goldenen Bulle war es, nach einer Zeit zunehmender politischer Streitigkeiten über die Wahl des römischen Königs und den damit verbundenen Doppelwahlen, Einigkeit über deren Formalitäten und Rahmenbedingungen zu schaffen und damit in Zukunft Kriegen und Konflikten vorzubeugen. Neben den Modalitäten der Königswahl und dem Kreis der Wähler schrieb sie auch die privilegierte Rechtsstellung der Kurfürsten fest und wirkte damit ordnungsstiftend für die politischen Beziehungen der nächsten 450 Jahre und 29 Wahlen. In dieser Zeit wurde sie nur geringfügig angepasst und nie grundsätzlich in ihrer Bedeutung infrage gestellt. Die in ihr festgeschriebenen Prinzipien einer föderalen Machtaufteilung sowie des einfachen Mehrheitsprinzips bei Wahlen wirken gar bis in die heutige Zeit fort.</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 xml:space="preserve">Für Frankfurt war die Goldene Bulle von besonderer Bedeutung, da in ihr der Status der Stadt als </w:t>
                      </w:r>
                      <w:proofErr w:type="spellStart"/>
                      <w:r>
                        <w:rPr>
                          <w:rFonts w:ascii="Verdana" w:hAnsi="Verdana"/>
                          <w:sz w:val="24"/>
                          <w:szCs w:val="24"/>
                        </w:rPr>
                        <w:t>Wahlort</w:t>
                      </w:r>
                      <w:proofErr w:type="spellEnd"/>
                      <w:r>
                        <w:rPr>
                          <w:rFonts w:ascii="Verdana" w:hAnsi="Verdana"/>
                          <w:sz w:val="24"/>
                          <w:szCs w:val="24"/>
                        </w:rPr>
                        <w:t xml:space="preserve"> eindeutig festgelegt</w:t>
                      </w:r>
                      <w:r w:rsidR="00563126">
                        <w:rPr>
                          <w:rFonts w:ascii="Verdana" w:hAnsi="Verdana"/>
                          <w:sz w:val="24"/>
                          <w:szCs w:val="24"/>
                        </w:rPr>
                        <w:t xml:space="preserve"> </w:t>
                      </w:r>
                      <w:r>
                        <w:rPr>
                          <w:rFonts w:ascii="Verdana" w:hAnsi="Verdana"/>
                          <w:sz w:val="24"/>
                          <w:szCs w:val="24"/>
                        </w:rPr>
                        <w:t xml:space="preserve">und der später um die Designation als Krönungsort erweitert wurde. Dies bedeutete für Frankfurt eine besondere Ehre und brachte auf der einen Seite Ansehen und wirtschaftliche Entwicklung, auf der anderen Seite aber auch viele Verpflichtungen – beispielsweise für die Zeit der Wahl als neutrales Territorium die Sicherheit aller Beteiligten sowie deren Versorgung zu gewährleisten. </w:t>
                      </w:r>
                    </w:p>
                    <w:p w:rsidR="00F5309D" w:rsidRDefault="00F5309D" w:rsidP="00F5309D">
                      <w:pPr>
                        <w:spacing w:after="0" w:line="240" w:lineRule="auto"/>
                        <w:jc w:val="both"/>
                        <w:rPr>
                          <w:rFonts w:ascii="Verdana" w:hAnsi="Verdana"/>
                          <w:sz w:val="24"/>
                          <w:szCs w:val="24"/>
                        </w:rPr>
                      </w:pPr>
                    </w:p>
                    <w:p w:rsidR="00F5309D" w:rsidRDefault="00F5309D" w:rsidP="00F5309D">
                      <w:pPr>
                        <w:spacing w:after="0" w:line="240" w:lineRule="auto"/>
                        <w:jc w:val="both"/>
                        <w:rPr>
                          <w:rFonts w:ascii="Verdana" w:hAnsi="Verdana"/>
                          <w:sz w:val="24"/>
                          <w:szCs w:val="24"/>
                        </w:rPr>
                      </w:pPr>
                      <w:r>
                        <w:rPr>
                          <w:rFonts w:ascii="Verdana" w:hAnsi="Verdana"/>
                          <w:sz w:val="24"/>
                          <w:szCs w:val="24"/>
                        </w:rPr>
                        <w:t xml:space="preserve">Eine besondere Bedeutung kommt dem Frankfurter Exemplar der Goldenen Bulle zu, das nicht nur lange Zeit für das Original gehalten wurde, sondern auch als einzige Ausgabe nie für längere Zeit seinen Ursprungsort verlassen musste und in Ermangelung eines offiziellen Reichsexemplars bei Streitfragen sowie bei jeder Wahl zu Rate gezogen wurde. </w:t>
                      </w:r>
                    </w:p>
                  </w:txbxContent>
                </v:textbox>
                <w10:wrap type="tight" anchorx="margin"/>
              </v:shape>
            </w:pict>
          </mc:Fallback>
        </mc:AlternateContent>
      </w:r>
    </w:p>
    <w:p w:rsidR="001B3F1C" w:rsidRDefault="001B3F1C">
      <w:pPr>
        <w:spacing w:after="160" w:line="259" w:lineRule="auto"/>
        <w:rPr>
          <w:rFonts w:ascii="Verdana" w:eastAsia="Calibri" w:hAnsi="Verdana" w:cs="Times New Roman"/>
          <w:b/>
          <w:caps/>
          <w:sz w:val="24"/>
          <w:szCs w:val="24"/>
        </w:rPr>
      </w:pPr>
      <w:r>
        <w:rPr>
          <w:rFonts w:ascii="Verdana" w:eastAsia="Calibri" w:hAnsi="Verdana" w:cs="Times New Roman"/>
          <w:b/>
          <w:caps/>
          <w:sz w:val="24"/>
          <w:szCs w:val="24"/>
        </w:rPr>
        <w:br w:type="page"/>
      </w:r>
    </w:p>
    <w:p w:rsidR="00D27902" w:rsidRPr="00D27902" w:rsidRDefault="00D27902" w:rsidP="00D27902">
      <w:pPr>
        <w:spacing w:after="0" w:line="240" w:lineRule="auto"/>
        <w:jc w:val="center"/>
        <w:rPr>
          <w:rFonts w:ascii="Verdana" w:eastAsia="Calibri" w:hAnsi="Verdana" w:cs="Times New Roman"/>
          <w:b/>
          <w:caps/>
          <w:sz w:val="24"/>
          <w:szCs w:val="24"/>
        </w:rPr>
      </w:pPr>
      <w:r w:rsidRPr="00D27902">
        <w:rPr>
          <w:rFonts w:ascii="Verdana" w:eastAsia="Calibri" w:hAnsi="Verdana" w:cs="Times New Roman"/>
          <w:b/>
          <w:caps/>
          <w:sz w:val="24"/>
          <w:szCs w:val="24"/>
        </w:rPr>
        <w:lastRenderedPageBreak/>
        <w:t>Visualisierung (II-III)</w:t>
      </w:r>
    </w:p>
    <w:p w:rsidR="00D27902" w:rsidRPr="00D27902" w:rsidRDefault="00D27902" w:rsidP="00D27902">
      <w:pPr>
        <w:spacing w:after="0" w:line="240" w:lineRule="auto"/>
        <w:jc w:val="both"/>
        <w:rPr>
          <w:rFonts w:ascii="Verdana" w:eastAsia="Calibri" w:hAnsi="Verdana" w:cs="Times New Roman"/>
          <w:sz w:val="24"/>
          <w:szCs w:val="24"/>
        </w:rPr>
      </w:pPr>
    </w:p>
    <w:p w:rsidR="00D27902" w:rsidRPr="00D27902" w:rsidRDefault="00D27902" w:rsidP="00D27902">
      <w:pPr>
        <w:spacing w:after="0" w:line="240" w:lineRule="auto"/>
        <w:jc w:val="both"/>
        <w:rPr>
          <w:rFonts w:ascii="Verdana" w:eastAsia="Calibri" w:hAnsi="Verdana" w:cs="Times New Roman"/>
          <w:sz w:val="24"/>
          <w:szCs w:val="24"/>
        </w:rPr>
      </w:pPr>
      <w:r w:rsidRPr="00D27902">
        <w:rPr>
          <w:rFonts w:ascii="Verdana" w:eastAsia="Calibri" w:hAnsi="Verdana" w:cs="Times New Roman"/>
          <w:sz w:val="24"/>
          <w:szCs w:val="24"/>
        </w:rPr>
        <w:t>Lesen Sie in Gruppen die Ausschnitte der Goldenen Bulle. Arbeiten Sie dabei die jeweiligen Regelungen heraus und visualisieren Sie diese für den Rest des Kurses. Die Art der Visualisierung können Sie</w:t>
      </w:r>
      <w:r w:rsidR="001E4702">
        <w:rPr>
          <w:rFonts w:ascii="Verdana" w:eastAsia="Calibri" w:hAnsi="Verdana" w:cs="Times New Roman"/>
          <w:sz w:val="24"/>
          <w:szCs w:val="24"/>
        </w:rPr>
        <w:t xml:space="preserve"> </w:t>
      </w:r>
      <w:r w:rsidRPr="00D27902">
        <w:rPr>
          <w:rFonts w:ascii="Verdana" w:eastAsia="Calibri" w:hAnsi="Verdana" w:cs="Times New Roman"/>
          <w:sz w:val="24"/>
          <w:szCs w:val="24"/>
        </w:rPr>
        <w:t>dabei frei wählen (z.B. Standbild, Bild, Schema, Comic…).</w:t>
      </w:r>
    </w:p>
    <w:p w:rsidR="00D27902" w:rsidRPr="00D27902" w:rsidRDefault="00D27902" w:rsidP="00D27902">
      <w:pPr>
        <w:spacing w:after="0" w:line="240" w:lineRule="auto"/>
        <w:jc w:val="both"/>
        <w:rPr>
          <w:rFonts w:ascii="Verdana" w:eastAsia="Calibri" w:hAnsi="Verdana" w:cs="Times New Roman"/>
          <w:sz w:val="24"/>
          <w:szCs w:val="24"/>
        </w:rPr>
      </w:pPr>
    </w:p>
    <w:p w:rsidR="00D27902" w:rsidRPr="00D27902" w:rsidRDefault="00D27902" w:rsidP="00D27902">
      <w:pPr>
        <w:spacing w:after="0" w:line="240" w:lineRule="auto"/>
        <w:jc w:val="both"/>
        <w:rPr>
          <w:rFonts w:ascii="Verdana" w:eastAsia="Calibri" w:hAnsi="Verdana" w:cs="Times New Roman"/>
          <w:b/>
          <w:sz w:val="24"/>
          <w:szCs w:val="24"/>
        </w:rPr>
      </w:pPr>
      <w:r w:rsidRPr="00D27902">
        <w:rPr>
          <w:rFonts w:ascii="Verdana" w:eastAsia="Calibri" w:hAnsi="Verdana" w:cs="Times New Roman"/>
          <w:b/>
          <w:sz w:val="24"/>
          <w:szCs w:val="24"/>
        </w:rPr>
        <w:t>Im Anschluss:</w:t>
      </w:r>
    </w:p>
    <w:p w:rsidR="00D27902" w:rsidRPr="00D27902" w:rsidRDefault="00D27902" w:rsidP="00D27902">
      <w:pPr>
        <w:spacing w:after="0" w:line="240" w:lineRule="auto"/>
        <w:jc w:val="both"/>
        <w:rPr>
          <w:rFonts w:ascii="Verdana" w:eastAsia="Calibri" w:hAnsi="Verdana" w:cs="Times New Roman"/>
          <w:b/>
          <w:sz w:val="24"/>
          <w:szCs w:val="24"/>
        </w:rPr>
      </w:pPr>
    </w:p>
    <w:p w:rsidR="00D27902" w:rsidRPr="00D27902" w:rsidRDefault="00D27902" w:rsidP="00D27902">
      <w:pPr>
        <w:spacing w:after="0" w:line="240" w:lineRule="auto"/>
        <w:jc w:val="both"/>
        <w:rPr>
          <w:rFonts w:ascii="Verdana" w:eastAsia="Calibri" w:hAnsi="Verdana" w:cs="Times New Roman"/>
          <w:sz w:val="24"/>
          <w:szCs w:val="24"/>
        </w:rPr>
      </w:pPr>
      <w:r w:rsidRPr="00D27902">
        <w:rPr>
          <w:rFonts w:ascii="Verdana" w:eastAsia="Calibri" w:hAnsi="Verdana" w:cs="Times New Roman"/>
          <w:sz w:val="24"/>
          <w:szCs w:val="24"/>
        </w:rPr>
        <w:t xml:space="preserve">Diskutieren Sie anhand Ihrer Visualisierungen die Funktion der dargestellten Rituale und Regelungen für die Ordnung im Reich. </w:t>
      </w:r>
    </w:p>
    <w:p w:rsidR="00D27902" w:rsidRPr="00D27902" w:rsidRDefault="00D27902" w:rsidP="00684858">
      <w:pPr>
        <w:spacing w:after="0" w:line="240" w:lineRule="auto"/>
        <w:jc w:val="both"/>
        <w:rPr>
          <w:rFonts w:ascii="Verdana" w:eastAsia="Calibri" w:hAnsi="Verdana" w:cs="Times New Roman"/>
          <w:sz w:val="24"/>
          <w:szCs w:val="24"/>
        </w:rPr>
      </w:pPr>
      <w:r w:rsidRPr="00D27902">
        <w:rPr>
          <w:rFonts w:ascii="Verdana" w:eastAsia="Calibri" w:hAnsi="Verdana" w:cs="Times New Roman"/>
          <w:sz w:val="24"/>
          <w:szCs w:val="24"/>
        </w:rPr>
        <w:t xml:space="preserve">Wer hat hier Macht über wen? Wer ordnet sich unter? Wie wird zwischen den Machtpositionen verhandelt? Was lernen Sie auf diese Weise über die Beziehungen der Beteiligten und deren </w:t>
      </w:r>
      <w:r>
        <w:rPr>
          <w:rFonts w:ascii="Verdana" w:eastAsia="Calibri" w:hAnsi="Verdana" w:cs="Times New Roman"/>
          <w:sz w:val="24"/>
          <w:szCs w:val="24"/>
        </w:rPr>
        <w:t>Hierarchien und Verpflichtungen</w:t>
      </w:r>
      <w:r w:rsidR="001E4702">
        <w:rPr>
          <w:rFonts w:ascii="Verdana" w:eastAsia="Calibri" w:hAnsi="Verdana" w:cs="Times New Roman"/>
          <w:sz w:val="24"/>
          <w:szCs w:val="24"/>
        </w:rPr>
        <w:t xml:space="preserve">? Gerne dürfen Sie zu diesem Zweck auch das Schaubild nach Schneidmüller miteinbeziehen. </w:t>
      </w:r>
    </w:p>
    <w:p w:rsidR="00D27902" w:rsidRDefault="00D27902" w:rsidP="00684858">
      <w:pPr>
        <w:spacing w:after="0" w:line="240" w:lineRule="auto"/>
        <w:jc w:val="both"/>
      </w:pPr>
    </w:p>
    <w:p w:rsidR="001B3F1C" w:rsidRPr="00D27902" w:rsidRDefault="001B3F1C" w:rsidP="001B3F1C">
      <w:pPr>
        <w:spacing w:after="0" w:line="240" w:lineRule="auto"/>
        <w:jc w:val="both"/>
        <w:rPr>
          <w:rFonts w:ascii="Verdana" w:hAnsi="Verdana"/>
          <w:sz w:val="24"/>
          <w:szCs w:val="24"/>
        </w:rPr>
      </w:pPr>
      <w:r>
        <w:rPr>
          <w:noProof/>
          <w:lang w:eastAsia="de-DE"/>
        </w:rPr>
        <w:drawing>
          <wp:inline distT="0" distB="0" distL="0" distR="0" wp14:anchorId="748CC890" wp14:editId="57F73685">
            <wp:extent cx="5760720" cy="4313583"/>
            <wp:effectExtent l="0" t="0" r="0" b="0"/>
            <wp:docPr id="9" name="Picture 9" descr="https://www.stadtgeschichte-ffm.de/db/text/b800/93_prozessionsordnung-kurfuerst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tadtgeschichte-ffm.de/db/text/b800/93_prozessionsordnung-kurfuerste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4313583"/>
                    </a:xfrm>
                    <a:prstGeom prst="rect">
                      <a:avLst/>
                    </a:prstGeom>
                    <a:noFill/>
                    <a:ln>
                      <a:noFill/>
                    </a:ln>
                  </pic:spPr>
                </pic:pic>
              </a:graphicData>
            </a:graphic>
          </wp:inline>
        </w:drawing>
      </w:r>
    </w:p>
    <w:p w:rsidR="001B3F1C" w:rsidRDefault="001B3F1C" w:rsidP="001B3F1C">
      <w:pPr>
        <w:spacing w:after="0" w:line="240" w:lineRule="auto"/>
        <w:jc w:val="both"/>
        <w:rPr>
          <w:rFonts w:ascii="Verdana" w:eastAsia="Times New Roman" w:hAnsi="Verdana" w:cs="Arial"/>
          <w:i/>
          <w:sz w:val="24"/>
          <w:szCs w:val="24"/>
        </w:rPr>
      </w:pPr>
    </w:p>
    <w:p w:rsidR="001B3F1C" w:rsidRDefault="001B3F1C" w:rsidP="001B3F1C">
      <w:pPr>
        <w:spacing w:after="0" w:line="240" w:lineRule="auto"/>
        <w:jc w:val="both"/>
        <w:rPr>
          <w:rFonts w:ascii="Verdana" w:eastAsia="Times New Roman" w:hAnsi="Verdana" w:cs="Arial"/>
          <w:i/>
          <w:sz w:val="24"/>
          <w:szCs w:val="24"/>
        </w:rPr>
      </w:pPr>
      <w:r w:rsidRPr="00ED5E70">
        <w:rPr>
          <w:rFonts w:ascii="Verdana" w:eastAsia="Times New Roman" w:hAnsi="Verdana" w:cs="Arial"/>
          <w:i/>
          <w:sz w:val="24"/>
          <w:szCs w:val="24"/>
        </w:rPr>
        <w:t xml:space="preserve">Schema nach Schneidmüller, Bernd: Die Aufführung des Reichs. Zeremoniell, Ritual und Performanz in der Goldenen Bulle von 1356, in: Die Kaisermacher. Frankfurt am Main und die Goldene Bulle 1356-1806. Aufsätze, </w:t>
      </w:r>
      <w:proofErr w:type="spellStart"/>
      <w:r w:rsidRPr="00ED5E70">
        <w:rPr>
          <w:rFonts w:ascii="Verdana" w:eastAsia="Times New Roman" w:hAnsi="Verdana" w:cs="Arial"/>
          <w:i/>
          <w:sz w:val="24"/>
          <w:szCs w:val="24"/>
        </w:rPr>
        <w:t>hg</w:t>
      </w:r>
      <w:proofErr w:type="spellEnd"/>
      <w:r w:rsidRPr="00ED5E70">
        <w:rPr>
          <w:rFonts w:ascii="Verdana" w:eastAsia="Times New Roman" w:hAnsi="Verdana" w:cs="Arial"/>
          <w:i/>
          <w:sz w:val="24"/>
          <w:szCs w:val="24"/>
        </w:rPr>
        <w:t>. v. Evelyn Brockhoff &amp; Michael Matthäus, Frankfurt 200</w:t>
      </w:r>
      <w:r>
        <w:rPr>
          <w:rFonts w:ascii="Verdana" w:eastAsia="Times New Roman" w:hAnsi="Verdana" w:cs="Arial"/>
          <w:i/>
          <w:sz w:val="24"/>
          <w:szCs w:val="24"/>
        </w:rPr>
        <w:t>6</w:t>
      </w:r>
      <w:r>
        <w:rPr>
          <w:rFonts w:ascii="Verdana" w:eastAsia="Times New Roman" w:hAnsi="Verdana" w:cs="Arial"/>
          <w:i/>
          <w:sz w:val="24"/>
          <w:szCs w:val="24"/>
        </w:rPr>
        <w:br w:type="page"/>
      </w:r>
    </w:p>
    <w:p w:rsidR="00D27902" w:rsidRPr="00D27902" w:rsidRDefault="00D27902" w:rsidP="00D27902">
      <w:pPr>
        <w:spacing w:after="0" w:line="240" w:lineRule="auto"/>
        <w:jc w:val="center"/>
        <w:rPr>
          <w:rFonts w:ascii="Verdana" w:eastAsia="Calibri" w:hAnsi="Verdana" w:cs="Times New Roman"/>
          <w:b/>
          <w:caps/>
          <w:sz w:val="24"/>
          <w:szCs w:val="24"/>
        </w:rPr>
      </w:pPr>
      <w:r w:rsidRPr="00D27902">
        <w:rPr>
          <w:rFonts w:ascii="Verdana" w:eastAsia="Calibri" w:hAnsi="Verdana" w:cs="Times New Roman"/>
          <w:b/>
          <w:caps/>
          <w:sz w:val="24"/>
          <w:szCs w:val="24"/>
        </w:rPr>
        <w:lastRenderedPageBreak/>
        <w:t>Die Goldene Bulle als Lebendes Bild (III)</w:t>
      </w:r>
    </w:p>
    <w:p w:rsidR="00D27902" w:rsidRPr="00D27902" w:rsidRDefault="00D27902" w:rsidP="00D27902">
      <w:pPr>
        <w:spacing w:after="0" w:line="240" w:lineRule="auto"/>
        <w:jc w:val="both"/>
        <w:rPr>
          <w:rFonts w:ascii="Verdana" w:eastAsia="Calibri" w:hAnsi="Verdana" w:cs="Times New Roman"/>
          <w:sz w:val="24"/>
          <w:szCs w:val="24"/>
        </w:rPr>
      </w:pPr>
    </w:p>
    <w:p w:rsidR="00D27902" w:rsidRDefault="00D27902" w:rsidP="00D27902">
      <w:pPr>
        <w:spacing w:after="0" w:line="240" w:lineRule="auto"/>
        <w:jc w:val="both"/>
        <w:rPr>
          <w:rFonts w:ascii="Verdana" w:eastAsia="Calibri" w:hAnsi="Verdana" w:cs="Times New Roman"/>
          <w:sz w:val="24"/>
          <w:szCs w:val="24"/>
        </w:rPr>
      </w:pPr>
      <w:r w:rsidRPr="00D27902">
        <w:rPr>
          <w:rFonts w:ascii="Verdana" w:eastAsia="Calibri" w:hAnsi="Verdana" w:cs="Times New Roman"/>
          <w:sz w:val="24"/>
          <w:szCs w:val="24"/>
        </w:rPr>
        <w:t>„Wir erkannten im 14. Jahrhundert den Willen zur Formulierung umfassender Ordnungsmodelle, die auf die nach innen wie außen zielende Wirksamkeit von Zeremonien und Ritualen vertrauten. Wenn der Handlungsverbund von Haupt und Gliedern in öffentlicher Darbietung saß, schritt, speiste, diente, dann erstand das Reich, in repräsentativer Vertretung wie als gelebtes Abbild, materiell wie imaginär. Der Aufzug der wenigen brachte das Ganze hervor. Alle sahen es, erlebten es, fühlten es, hörten es. Den Gebildeten des späten Mittelalters konnte man das Reich oder den Staat vielleicht juristisch wie philosophisch vermitteln oder in ko</w:t>
      </w:r>
      <w:r w:rsidR="00AF6BFD">
        <w:rPr>
          <w:rFonts w:ascii="Verdana" w:eastAsia="Calibri" w:hAnsi="Verdana" w:cs="Times New Roman"/>
          <w:sz w:val="24"/>
          <w:szCs w:val="24"/>
        </w:rPr>
        <w:t xml:space="preserve">mplexen Lehrgebäuden erklären </w:t>
      </w:r>
      <w:r w:rsidRPr="00D27902">
        <w:rPr>
          <w:rFonts w:ascii="Verdana" w:eastAsia="Calibri" w:hAnsi="Verdana" w:cs="Times New Roman"/>
          <w:sz w:val="24"/>
          <w:szCs w:val="24"/>
        </w:rPr>
        <w:t xml:space="preserve">die meisten Menschen aber erkannten das erst beim Hinschauen, begriffen es in Statik wie Aktion. Die Goldene Bulle stiftete als Politikentwurf Sinnhaftigkeiten, die angemessene Fügung der Zeichen, den Glanz der Repräsentation, die Fantasie der Ordnungen – all das, was in modernen Verfassungsdiskursen jenseits der Menschen manchmal zu zerrinnen droht.“ </w:t>
      </w:r>
    </w:p>
    <w:p w:rsidR="00C83412" w:rsidRPr="00D27902" w:rsidRDefault="00C83412" w:rsidP="00D27902">
      <w:pPr>
        <w:spacing w:after="0" w:line="240" w:lineRule="auto"/>
        <w:jc w:val="both"/>
        <w:rPr>
          <w:rFonts w:ascii="Verdana" w:eastAsia="Calibri" w:hAnsi="Verdana" w:cs="Times New Roman"/>
          <w:sz w:val="24"/>
          <w:szCs w:val="24"/>
        </w:rPr>
      </w:pPr>
    </w:p>
    <w:p w:rsidR="00D27902" w:rsidRPr="00D27902" w:rsidRDefault="00D27902" w:rsidP="00D27902">
      <w:pPr>
        <w:spacing w:after="0" w:line="240" w:lineRule="auto"/>
        <w:jc w:val="both"/>
        <w:rPr>
          <w:rFonts w:ascii="Verdana" w:eastAsia="Calibri" w:hAnsi="Verdana" w:cs="Times New Roman"/>
          <w:color w:val="000000"/>
          <w:sz w:val="24"/>
          <w:szCs w:val="24"/>
        </w:rPr>
      </w:pPr>
      <w:r w:rsidRPr="00D27902">
        <w:rPr>
          <w:rFonts w:ascii="Verdana" w:eastAsia="Calibri" w:hAnsi="Verdana" w:cs="Times New Roman"/>
          <w:i/>
          <w:color w:val="000000"/>
          <w:sz w:val="24"/>
          <w:szCs w:val="24"/>
        </w:rPr>
        <w:t xml:space="preserve">(Bernd Schneidmüller: Inszenierungen und Rituale des spätmittelalterlichen Reichs. Die Goldene Bulle von 1356 in westeuropäischen Vergleichen, in: Die Goldene Bulle. Politik, Wahrnehmung, Rezeption Bd. 1, </w:t>
      </w:r>
      <w:proofErr w:type="spellStart"/>
      <w:r w:rsidRPr="00D27902">
        <w:rPr>
          <w:rFonts w:ascii="Verdana" w:eastAsia="Calibri" w:hAnsi="Verdana" w:cs="Times New Roman"/>
          <w:i/>
          <w:color w:val="000000"/>
          <w:sz w:val="24"/>
          <w:szCs w:val="24"/>
        </w:rPr>
        <w:t>hg</w:t>
      </w:r>
      <w:proofErr w:type="spellEnd"/>
      <w:r w:rsidRPr="00D27902">
        <w:rPr>
          <w:rFonts w:ascii="Verdana" w:eastAsia="Calibri" w:hAnsi="Verdana" w:cs="Times New Roman"/>
          <w:i/>
          <w:color w:val="000000"/>
          <w:sz w:val="24"/>
          <w:szCs w:val="24"/>
        </w:rPr>
        <w:t xml:space="preserve">. v. Ulrike </w:t>
      </w:r>
      <w:proofErr w:type="spellStart"/>
      <w:r w:rsidRPr="00D27902">
        <w:rPr>
          <w:rFonts w:ascii="Verdana" w:eastAsia="Calibri" w:hAnsi="Verdana" w:cs="Times New Roman"/>
          <w:i/>
          <w:color w:val="000000"/>
          <w:sz w:val="24"/>
          <w:szCs w:val="24"/>
        </w:rPr>
        <w:t>Hohensee</w:t>
      </w:r>
      <w:proofErr w:type="spellEnd"/>
      <w:r w:rsidRPr="00D27902">
        <w:rPr>
          <w:rFonts w:ascii="Verdana" w:eastAsia="Calibri" w:hAnsi="Verdana" w:cs="Times New Roman"/>
          <w:i/>
          <w:color w:val="000000"/>
          <w:sz w:val="24"/>
          <w:szCs w:val="24"/>
        </w:rPr>
        <w:t xml:space="preserve"> et al., Berlin 2009, S. 261</w:t>
      </w:r>
      <w:r w:rsidR="00C83412">
        <w:rPr>
          <w:rFonts w:ascii="Verdana" w:eastAsia="Calibri" w:hAnsi="Verdana" w:cs="Times New Roman"/>
          <w:i/>
          <w:color w:val="000000"/>
          <w:sz w:val="24"/>
          <w:szCs w:val="24"/>
        </w:rPr>
        <w:t>-</w:t>
      </w:r>
      <w:r w:rsidRPr="00D27902">
        <w:rPr>
          <w:rFonts w:ascii="Verdana" w:eastAsia="Calibri" w:hAnsi="Verdana" w:cs="Times New Roman"/>
          <w:i/>
          <w:color w:val="000000"/>
          <w:sz w:val="24"/>
          <w:szCs w:val="24"/>
        </w:rPr>
        <w:t>298)</w:t>
      </w:r>
      <w:r w:rsidRPr="00D27902">
        <w:rPr>
          <w:rFonts w:ascii="Verdana" w:eastAsia="Calibri" w:hAnsi="Verdana" w:cs="Times New Roman"/>
          <w:color w:val="000000"/>
          <w:sz w:val="24"/>
          <w:szCs w:val="24"/>
        </w:rPr>
        <w:t>.</w:t>
      </w:r>
    </w:p>
    <w:p w:rsidR="00D27902" w:rsidRPr="00D27902" w:rsidRDefault="00D27902" w:rsidP="00D27902">
      <w:pPr>
        <w:spacing w:after="0" w:line="240" w:lineRule="auto"/>
        <w:jc w:val="both"/>
        <w:rPr>
          <w:rFonts w:ascii="Verdana" w:eastAsia="Calibri" w:hAnsi="Verdana" w:cs="Times New Roman"/>
          <w:sz w:val="24"/>
          <w:szCs w:val="24"/>
        </w:rPr>
      </w:pPr>
    </w:p>
    <w:p w:rsidR="00D27902" w:rsidRPr="00C83412" w:rsidRDefault="00D27902" w:rsidP="007E5164">
      <w:pPr>
        <w:spacing w:after="0" w:line="240" w:lineRule="auto"/>
        <w:jc w:val="both"/>
      </w:pPr>
      <w:r w:rsidRPr="00D27902">
        <w:rPr>
          <w:rFonts w:ascii="Verdana" w:eastAsia="Times New Roman" w:hAnsi="Verdana" w:cs="Arial"/>
          <w:sz w:val="24"/>
          <w:szCs w:val="28"/>
        </w:rPr>
        <w:t>Um ihre Bedeutung für Politik und Machtverhältnisse der vormodernen Zeit einzuordnen, wird die Goldene Bulle oft als „lebendes Bild“ bezeichnet. Beurteilen Sie</w:t>
      </w:r>
      <w:r>
        <w:rPr>
          <w:rFonts w:ascii="Verdana" w:eastAsia="Times New Roman" w:hAnsi="Verdana" w:cs="Arial"/>
          <w:sz w:val="24"/>
          <w:szCs w:val="28"/>
        </w:rPr>
        <w:t xml:space="preserve"> </w:t>
      </w:r>
      <w:r w:rsidRPr="00D27902">
        <w:rPr>
          <w:rFonts w:ascii="Verdana" w:eastAsia="Times New Roman" w:hAnsi="Verdana" w:cs="Arial"/>
          <w:sz w:val="24"/>
          <w:szCs w:val="28"/>
        </w:rPr>
        <w:t xml:space="preserve">diese Bezeichnung anhand des Zitats des Historikers Bernd Schneidmüller und der zuvor erarbeiteten zeremoniellen Regelungen in der Goldenen Bulle. Vergleichen Sie diese weiterhin mit den Funktionen von heutigen Sitz- und Prozessionsordnungen vom Beginn der Sitzung. Was macht das historisch Spezifische an den rituellen </w:t>
      </w:r>
      <w:r w:rsidR="00C83412">
        <w:rPr>
          <w:rFonts w:ascii="Verdana" w:eastAsia="Times New Roman" w:hAnsi="Verdana" w:cs="Arial"/>
          <w:sz w:val="24"/>
          <w:szCs w:val="28"/>
        </w:rPr>
        <w:t>Aspekten der Goldenen Bulle au</w:t>
      </w:r>
      <w:r w:rsidR="007E5164">
        <w:rPr>
          <w:rFonts w:ascii="Verdana" w:eastAsia="Times New Roman" w:hAnsi="Verdana" w:cs="Arial"/>
          <w:sz w:val="24"/>
          <w:szCs w:val="28"/>
        </w:rPr>
        <w:t>s?</w:t>
      </w:r>
      <w:r w:rsidR="007E5164" w:rsidRPr="00C83412">
        <w:t xml:space="preserve"> </w:t>
      </w:r>
    </w:p>
    <w:sectPr w:rsidR="00D27902" w:rsidRPr="00C83412">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2DE5" w:rsidRDefault="005C2DE5" w:rsidP="00F5309D">
      <w:pPr>
        <w:spacing w:after="0" w:line="240" w:lineRule="auto"/>
      </w:pPr>
      <w:r>
        <w:separator/>
      </w:r>
    </w:p>
  </w:endnote>
  <w:endnote w:type="continuationSeparator" w:id="0">
    <w:p w:rsidR="005C2DE5" w:rsidRDefault="005C2DE5" w:rsidP="00F530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153153"/>
      <w:docPartObj>
        <w:docPartGallery w:val="Page Numbers (Bottom of Page)"/>
        <w:docPartUnique/>
      </w:docPartObj>
    </w:sdtPr>
    <w:sdtEndPr/>
    <w:sdtContent>
      <w:p w:rsidR="001E4702" w:rsidRPr="001B3F1C" w:rsidRDefault="001B3F1C" w:rsidP="001B3F1C">
        <w:pPr>
          <w:pStyle w:val="Fuzeile"/>
          <w:jc w:val="right"/>
        </w:pPr>
        <w:r>
          <w:fldChar w:fldCharType="begin"/>
        </w:r>
        <w:r>
          <w:instrText>PAGE   \* MERGEFORMAT</w:instrText>
        </w:r>
        <w:r>
          <w:fldChar w:fldCharType="separate"/>
        </w:r>
        <w:r w:rsidR="00F11C92">
          <w:rPr>
            <w:noProof/>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2DE5" w:rsidRDefault="005C2DE5" w:rsidP="00F5309D">
      <w:pPr>
        <w:spacing w:after="0" w:line="240" w:lineRule="auto"/>
      </w:pPr>
      <w:r>
        <w:separator/>
      </w:r>
    </w:p>
  </w:footnote>
  <w:footnote w:type="continuationSeparator" w:id="0">
    <w:p w:rsidR="005C2DE5" w:rsidRDefault="005C2DE5" w:rsidP="00F530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A828FC"/>
    <w:multiLevelType w:val="hybridMultilevel"/>
    <w:tmpl w:val="BA665738"/>
    <w:lvl w:ilvl="0" w:tplc="FAA0578A">
      <w:numFmt w:val="bullet"/>
      <w:lvlText w:val="-"/>
      <w:lvlJc w:val="left"/>
      <w:pPr>
        <w:ind w:left="720" w:hanging="360"/>
      </w:pPr>
      <w:rPr>
        <w:rFonts w:ascii="Verdana" w:eastAsiaTheme="minorHAnsi" w:hAnsi="Verdana"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C573EF6"/>
    <w:multiLevelType w:val="hybridMultilevel"/>
    <w:tmpl w:val="529A5628"/>
    <w:lvl w:ilvl="0" w:tplc="3DA65A76">
      <w:numFmt w:val="bullet"/>
      <w:lvlText w:val="-"/>
      <w:lvlJc w:val="left"/>
      <w:pPr>
        <w:ind w:left="720" w:hanging="720"/>
      </w:pPr>
      <w:rPr>
        <w:rFonts w:ascii="Verdana" w:eastAsia="Times New Roman" w:hAnsi="Verdana" w:cs="Arial" w:hint="default"/>
        <w:b w:val="0"/>
      </w:rPr>
    </w:lvl>
    <w:lvl w:ilvl="1" w:tplc="04070001">
      <w:start w:val="1"/>
      <w:numFmt w:val="bullet"/>
      <w:lvlText w:val=""/>
      <w:lvlJc w:val="left"/>
      <w:pPr>
        <w:ind w:left="1014" w:hanging="360"/>
      </w:pPr>
      <w:rPr>
        <w:rFonts w:ascii="Symbol" w:hAnsi="Symbol" w:hint="default"/>
      </w:rPr>
    </w:lvl>
    <w:lvl w:ilvl="2" w:tplc="0407001B">
      <w:start w:val="1"/>
      <w:numFmt w:val="lowerRoman"/>
      <w:lvlText w:val="%3."/>
      <w:lvlJc w:val="right"/>
      <w:pPr>
        <w:ind w:left="1734" w:hanging="180"/>
      </w:pPr>
    </w:lvl>
    <w:lvl w:ilvl="3" w:tplc="0407000F" w:tentative="1">
      <w:start w:val="1"/>
      <w:numFmt w:val="decimal"/>
      <w:lvlText w:val="%4."/>
      <w:lvlJc w:val="left"/>
      <w:pPr>
        <w:ind w:left="2454" w:hanging="360"/>
      </w:pPr>
    </w:lvl>
    <w:lvl w:ilvl="4" w:tplc="04070019" w:tentative="1">
      <w:start w:val="1"/>
      <w:numFmt w:val="lowerLetter"/>
      <w:lvlText w:val="%5."/>
      <w:lvlJc w:val="left"/>
      <w:pPr>
        <w:ind w:left="3174" w:hanging="360"/>
      </w:pPr>
    </w:lvl>
    <w:lvl w:ilvl="5" w:tplc="0407001B" w:tentative="1">
      <w:start w:val="1"/>
      <w:numFmt w:val="lowerRoman"/>
      <w:lvlText w:val="%6."/>
      <w:lvlJc w:val="right"/>
      <w:pPr>
        <w:ind w:left="3894" w:hanging="180"/>
      </w:pPr>
    </w:lvl>
    <w:lvl w:ilvl="6" w:tplc="0407000F" w:tentative="1">
      <w:start w:val="1"/>
      <w:numFmt w:val="decimal"/>
      <w:lvlText w:val="%7."/>
      <w:lvlJc w:val="left"/>
      <w:pPr>
        <w:ind w:left="4614" w:hanging="360"/>
      </w:pPr>
    </w:lvl>
    <w:lvl w:ilvl="7" w:tplc="04070019" w:tentative="1">
      <w:start w:val="1"/>
      <w:numFmt w:val="lowerLetter"/>
      <w:lvlText w:val="%8."/>
      <w:lvlJc w:val="left"/>
      <w:pPr>
        <w:ind w:left="5334" w:hanging="360"/>
      </w:pPr>
    </w:lvl>
    <w:lvl w:ilvl="8" w:tplc="0407001B" w:tentative="1">
      <w:start w:val="1"/>
      <w:numFmt w:val="lowerRoman"/>
      <w:lvlText w:val="%9."/>
      <w:lvlJc w:val="right"/>
      <w:pPr>
        <w:ind w:left="605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478"/>
    <w:rsid w:val="001B3F1C"/>
    <w:rsid w:val="001E4702"/>
    <w:rsid w:val="00326478"/>
    <w:rsid w:val="00380DB4"/>
    <w:rsid w:val="00426FA7"/>
    <w:rsid w:val="00563126"/>
    <w:rsid w:val="0059097A"/>
    <w:rsid w:val="005C2DE5"/>
    <w:rsid w:val="00636317"/>
    <w:rsid w:val="00684858"/>
    <w:rsid w:val="006E265D"/>
    <w:rsid w:val="007E5164"/>
    <w:rsid w:val="00827836"/>
    <w:rsid w:val="00A00593"/>
    <w:rsid w:val="00A25A86"/>
    <w:rsid w:val="00A51F8B"/>
    <w:rsid w:val="00A912F0"/>
    <w:rsid w:val="00AF6BFD"/>
    <w:rsid w:val="00C07093"/>
    <w:rsid w:val="00C83412"/>
    <w:rsid w:val="00D27902"/>
    <w:rsid w:val="00E85685"/>
    <w:rsid w:val="00F11C92"/>
    <w:rsid w:val="00F5309D"/>
    <w:rsid w:val="00FC114A"/>
    <w:rsid w:val="00FE0C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3FF04DC"/>
  <w15:chartTrackingRefBased/>
  <w15:docId w15:val="{29DD7E7E-9DEE-4FBA-80B0-A422C7D29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26478"/>
    <w:pPr>
      <w:spacing w:after="200" w:line="27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2647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26478"/>
  </w:style>
  <w:style w:type="paragraph" w:styleId="Fuzeile">
    <w:name w:val="footer"/>
    <w:basedOn w:val="Standard"/>
    <w:link w:val="FuzeileZchn"/>
    <w:uiPriority w:val="99"/>
    <w:unhideWhenUsed/>
    <w:rsid w:val="0032647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26478"/>
  </w:style>
  <w:style w:type="paragraph" w:styleId="Listenabsatz">
    <w:name w:val="List Paragraph"/>
    <w:basedOn w:val="Standard"/>
    <w:uiPriority w:val="34"/>
    <w:qFormat/>
    <w:rsid w:val="00326478"/>
    <w:pPr>
      <w:ind w:left="720"/>
      <w:contextualSpacing/>
    </w:pPr>
  </w:style>
  <w:style w:type="character" w:styleId="Hyperlink">
    <w:name w:val="Hyperlink"/>
    <w:basedOn w:val="Absatz-Standardschriftart"/>
    <w:uiPriority w:val="99"/>
    <w:unhideWhenUsed/>
    <w:rsid w:val="00326478"/>
    <w:rPr>
      <w:color w:val="0563C1" w:themeColor="hyperlink"/>
      <w:u w:val="single"/>
    </w:rPr>
  </w:style>
  <w:style w:type="character" w:customStyle="1" w:styleId="string">
    <w:name w:val="string"/>
    <w:basedOn w:val="Absatz-Standardschriftart"/>
    <w:rsid w:val="003264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5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743</Words>
  <Characters>4685</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Stadt Frankfurt am Main</Company>
  <LinksUpToDate>false</LinksUpToDate>
  <CharactersWithSpaces>5418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Kindel, Sabine</dc:creator>
  <cp:keywords/>
  <dc:description/>
  <cp:lastModifiedBy>Häfner, Markus</cp:lastModifiedBy>
  <cp:revision>3</cp:revision>
  <dcterms:created xsi:type="dcterms:W3CDTF">2022-03-30T15:05:00Z</dcterms:created>
  <dcterms:modified xsi:type="dcterms:W3CDTF">2022-03-30T15:09:00Z</dcterms:modified>
</cp:coreProperties>
</file>